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84" w:rsidRPr="003C1284" w:rsidRDefault="003C1284" w:rsidP="003C1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84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целевых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</w:t>
      </w:r>
      <w:r w:rsidRPr="003C128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качества образования, определенных ООП НОО </w:t>
      </w:r>
      <w:r w:rsidRPr="003C1284">
        <w:rPr>
          <w:rFonts w:ascii="Times New Roman" w:hAnsi="Times New Roman" w:cs="Times New Roman"/>
          <w:b/>
          <w:bCs/>
          <w:sz w:val="24"/>
          <w:szCs w:val="24"/>
        </w:rPr>
        <w:t>за 2018-2020 учебный год</w:t>
      </w:r>
    </w:p>
    <w:p w:rsidR="003C1284" w:rsidRPr="00FD1FA1" w:rsidRDefault="003C1284" w:rsidP="003C12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проведенного проблемно-ориентированного анализа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2018-2020 учебный год определены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значения основных планируемых показателей достижения цели за отчетный период.</w:t>
      </w:r>
    </w:p>
    <w:p w:rsidR="003C1284" w:rsidRPr="009A7E9A" w:rsidRDefault="003C1284" w:rsidP="003C12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9A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достижения цели</w:t>
      </w:r>
      <w:r w:rsidRPr="009A7E9A">
        <w:rPr>
          <w:rStyle w:val="a8"/>
          <w:rFonts w:ascii="Times New Roman" w:hAnsi="Times New Roman"/>
          <w:b/>
          <w:bCs/>
          <w:sz w:val="24"/>
          <w:szCs w:val="24"/>
        </w:rPr>
        <w:footnoteReference w:id="1"/>
      </w:r>
      <w:r w:rsidRPr="009A7E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284" w:rsidRPr="00A8610B" w:rsidRDefault="003C1284" w:rsidP="003C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>Традиционные показатели:</w:t>
      </w:r>
    </w:p>
    <w:p w:rsidR="003C1284" w:rsidRPr="00A8610B" w:rsidRDefault="003C1284" w:rsidP="003C128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1.1.</w:t>
      </w: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1985"/>
        <w:gridCol w:w="3402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Коэффициент </w:t>
            </w:r>
            <w:proofErr w:type="spellStart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обученности</w:t>
            </w:r>
            <w:proofErr w:type="spellEnd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(КО)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C14F47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bCs/>
                <w:sz w:val="24"/>
                <w:szCs w:val="24"/>
              </w:rPr>
              <w:t>98-100%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Коэффициент качества (КК)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C14F47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bCs/>
                <w:sz w:val="24"/>
                <w:szCs w:val="24"/>
              </w:rPr>
              <w:t>73-78%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1C6B75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81%</w:t>
            </w:r>
          </w:p>
        </w:tc>
      </w:tr>
    </w:tbl>
    <w:p w:rsidR="003C1284" w:rsidRDefault="003C1284" w:rsidP="003C128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284" w:rsidRPr="00D051DD" w:rsidRDefault="003C1284" w:rsidP="003C128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DD">
        <w:rPr>
          <w:rFonts w:ascii="Times New Roman" w:hAnsi="Times New Roman" w:cs="Times New Roman"/>
          <w:bCs/>
          <w:sz w:val="24"/>
          <w:szCs w:val="24"/>
        </w:rPr>
        <w:t xml:space="preserve">Как видно из таблицы 1.1. было достигнуто запланированное значение показателя «Коэффициент </w:t>
      </w:r>
      <w:proofErr w:type="spellStart"/>
      <w:r w:rsidRPr="00D051D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D051DD">
        <w:rPr>
          <w:rFonts w:ascii="Times New Roman" w:hAnsi="Times New Roman" w:cs="Times New Roman"/>
          <w:bCs/>
          <w:sz w:val="24"/>
          <w:szCs w:val="24"/>
        </w:rPr>
        <w:t xml:space="preserve"> (КО)» по максимальному значению. Фактическое значение показателя «Коэффициент качества (КК)»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этом учебном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году  достигнуто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выше  максимального значения и составило 81%. Это наивысшее значение показателя за последние пять лет.</w:t>
      </w:r>
    </w:p>
    <w:p w:rsidR="003C1284" w:rsidRDefault="003C1284" w:rsidP="003C12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 xml:space="preserve">Вовлеченность обучающихся в проектную и учебно-исследовательскую деятельность </w:t>
      </w:r>
    </w:p>
    <w:p w:rsidR="003C1284" w:rsidRPr="00C14F47" w:rsidRDefault="003C1284" w:rsidP="003C1284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A8610B" w:rsidRDefault="003C1284" w:rsidP="003C1284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Вовлеченность </w:t>
            </w:r>
            <w:proofErr w:type="gramStart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обучающихся  в</w:t>
            </w:r>
            <w:proofErr w:type="gramEnd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проектную и учебно-исследовательскую деятельность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sz w:val="24"/>
                <w:szCs w:val="24"/>
              </w:rPr>
              <w:t>55-70%.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3C1284" w:rsidRDefault="003C1284" w:rsidP="003C1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284" w:rsidRPr="00D051DD" w:rsidRDefault="003C1284" w:rsidP="003C128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Фактическое значение показателя «В</w:t>
      </w:r>
      <w:r w:rsidRPr="00D051DD">
        <w:rPr>
          <w:rFonts w:ascii="Times New Roman" w:hAnsi="Times New Roman" w:cs="Times New Roman"/>
          <w:bCs/>
          <w:sz w:val="24"/>
          <w:szCs w:val="24"/>
        </w:rPr>
        <w:t>овлеченность обучающихся в проектную и учебно-исследовательскую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в отчетном учебном году находится на нижнем уровне планируемого значения показателя. См. Таблицу 1.2. Для обеспечения положительной динамики, связанной с увеличением значения данного показателя в организации урочной и внеурочной деятельности. К примеру, в урочных видах занятий необходимо увеличить количество часов на уроки-исследования, лабораторные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работыи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творческие отчеты по ним. Кроме того, учителями практически не используется «учебный эксперимент», который позволяет осваивать элементы исследовательской деятельности (планирование, и проведение эксперимента, обработка и анализ его результатов. Планируется увеличить количество домашнего задания исследовательского характера (урок с домашним заданием как продолжение). На наш взгляд, это позволит проводить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учебное исследование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достаточно протяженное во времени. Увеличение количества часов на исследовательскую практику активизирует мотивационный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компонет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данного вида активной образовательной деятельности. Кроме того, предполагается эффективнее использовать внеурочный ресурс ООП НОО: образовательные экспедиции (походы,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поедки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экскурсии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четко  обозначенными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образовательными целями, программой деятельности, продуманными формами контроля). Запланировано использование часов на углубленное изучение учебных предметов, которое даст возможности для реализации учебно-исследовательской деятельности обучающихся. В рамках ежегодной научно-практической конференции планируется сочетать работу над учебными исследованиями, коллективное обсуждение промежуточных и итоговых результатов, организацию круглых столов, дискуссий, интеллектуальных игр, публичных защит.</w:t>
      </w:r>
    </w:p>
    <w:p w:rsidR="003C1284" w:rsidRPr="00D051DD" w:rsidRDefault="003C1284" w:rsidP="003C1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284" w:rsidRPr="00D051DD" w:rsidRDefault="003C1284" w:rsidP="003C128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D051DD">
        <w:rPr>
          <w:rFonts w:ascii="Times New Roman" w:hAnsi="Times New Roman" w:cs="Times New Roman"/>
          <w:bCs/>
          <w:sz w:val="24"/>
          <w:szCs w:val="24"/>
        </w:rPr>
        <w:t>Личностные результаты: самоопределение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2"/>
      </w:r>
    </w:p>
    <w:p w:rsidR="003C1284" w:rsidRPr="00C14F47" w:rsidRDefault="003C1284" w:rsidP="003C1284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A8610B" w:rsidRDefault="003C1284" w:rsidP="003C128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268"/>
        <w:gridCol w:w="3119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Сформированность</w:t>
            </w:r>
            <w:proofErr w:type="spellEnd"/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внутренней пози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школьника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45-60%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Принятие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освоение новой социальной роли ученика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45-60%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Развитие самоуважения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способности адекватно оценивать себя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свои достижения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Видеть сильные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слабые стороны своей личности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widowControl w:val="0"/>
              <w:tabs>
                <w:tab w:val="left" w:pos="8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55-70%</w:t>
            </w:r>
          </w:p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79%</w:t>
            </w:r>
          </w:p>
        </w:tc>
      </w:tr>
    </w:tbl>
    <w:p w:rsidR="003C1284" w:rsidRDefault="003C1284" w:rsidP="003C1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84" w:rsidRPr="003E5AD4" w:rsidRDefault="003C1284" w:rsidP="003C12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C62AE">
        <w:rPr>
          <w:rFonts w:ascii="Times New Roman" w:eastAsia="Times New Roman" w:hAnsi="Times New Roman" w:cs="Times New Roman"/>
          <w:sz w:val="24"/>
          <w:szCs w:val="24"/>
        </w:rPr>
        <w:t>Полученные результаты (таблица</w:t>
      </w:r>
      <w:r w:rsidRPr="00DC62AE">
        <w:rPr>
          <w:rFonts w:ascii="Times New Roman" w:hAnsi="Times New Roman" w:cs="Times New Roman"/>
          <w:bCs/>
          <w:sz w:val="24"/>
          <w:szCs w:val="24"/>
        </w:rPr>
        <w:t xml:space="preserve">1.3.) 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свидетельствуют о том, что сложившаяся в Гимназии система работы по обеспечению требований к личностным результатам обучающихся, освоивших ООП НОО, заданных требованиями ФГОС НОО (п.9), в целом, </w:t>
      </w:r>
      <w:r w:rsidRPr="00DC62AE">
        <w:rPr>
          <w:rFonts w:ascii="Times New Roman" w:eastAsia="Times New Roman" w:hAnsi="Times New Roman" w:cs="Times New Roman"/>
          <w:b/>
          <w:i/>
          <w:sz w:val="24"/>
          <w:szCs w:val="24"/>
        </w:rPr>
        <w:t>эффективна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 xml:space="preserve">.  У большинства выпускников начальной школы сформирована готовность и способность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самоопределению и саморазвитию. 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>Можно констатировать, что образовательный процесс и уклад гимназической жизни в целом способствуют формированию личностных качеств, в том числе качеств ученика, способного и умеющего самостоятельно учиться.</w:t>
      </w:r>
    </w:p>
    <w:p w:rsidR="003C1284" w:rsidRPr="00C14F47" w:rsidRDefault="003C1284" w:rsidP="003C1284">
      <w:pPr>
        <w:pStyle w:val="a3"/>
        <w:widowControl w:val="0"/>
        <w:numPr>
          <w:ilvl w:val="1"/>
          <w:numId w:val="6"/>
        </w:numPr>
        <w:tabs>
          <w:tab w:val="left" w:pos="897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результаты: </w:t>
      </w:r>
      <w:proofErr w:type="spellStart"/>
      <w:r w:rsidRPr="00A8610B">
        <w:rPr>
          <w:rFonts w:ascii="Times New Roman" w:hAnsi="Times New Roman" w:cs="Times New Roman"/>
          <w:i/>
          <w:sz w:val="24"/>
          <w:szCs w:val="24"/>
        </w:rPr>
        <w:t>смыслоообразование</w:t>
      </w:r>
      <w:proofErr w:type="spellEnd"/>
      <w:r>
        <w:rPr>
          <w:rStyle w:val="a8"/>
          <w:rFonts w:ascii="Times New Roman" w:hAnsi="Times New Roman"/>
          <w:i/>
          <w:sz w:val="24"/>
          <w:szCs w:val="24"/>
        </w:rPr>
        <w:footnoteReference w:id="3"/>
      </w:r>
    </w:p>
    <w:p w:rsidR="003C1284" w:rsidRPr="00C14F47" w:rsidRDefault="003C1284" w:rsidP="003C1284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A8610B" w:rsidRDefault="003C1284" w:rsidP="003C1284">
      <w:pPr>
        <w:pStyle w:val="a3"/>
        <w:widowControl w:val="0"/>
        <w:tabs>
          <w:tab w:val="left" w:pos="897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значения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Учение на основе устойчивой системы учебно-познавательных и социальных мотивов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Принятие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освоение новой социальной роли ученика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понимания границ того, «что я знаю» и того «что я не знаю» и стремления к преодолению этого разрыва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60 -80%</w:t>
            </w:r>
            <w:r w:rsidRPr="00A86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61%</w:t>
            </w:r>
          </w:p>
        </w:tc>
      </w:tr>
    </w:tbl>
    <w:p w:rsidR="003C1284" w:rsidRDefault="003C1284" w:rsidP="003C12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1284" w:rsidRPr="00034CE4" w:rsidRDefault="003C1284" w:rsidP="003C12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таблице 1.4. представлено фактическое достижение планируемого личностного результата (обобщенного)- 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действийсмыслообразования</w:t>
      </w:r>
      <w:proofErr w:type="spellEnd"/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 выпускников начальной школы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Они </w:t>
      </w:r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оценивалась</w:t>
      </w:r>
      <w:proofErr w:type="gramEnd"/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через мотивацию учебной деятельности, которая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интерпретировалась как осознание ребёнком ценности учебной деятельности и проявление его интереса к учению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подробно представлены во 2 разделе.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C1284" w:rsidRPr="00A8610B" w:rsidRDefault="003C1284" w:rsidP="003C1284">
      <w:pPr>
        <w:widowControl w:val="0"/>
        <w:tabs>
          <w:tab w:val="left" w:pos="8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84" w:rsidRPr="003E5AD4" w:rsidRDefault="003C1284" w:rsidP="003C128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5AD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3E5AD4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(обобщенные)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4"/>
      </w:r>
    </w:p>
    <w:p w:rsidR="003C1284" w:rsidRPr="00C14F47" w:rsidRDefault="003C1284" w:rsidP="003C1284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A8610B" w:rsidRDefault="003C1284" w:rsidP="003C128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891"/>
        <w:gridCol w:w="1550"/>
        <w:gridCol w:w="1559"/>
        <w:gridCol w:w="1559"/>
        <w:gridCol w:w="1701"/>
      </w:tblGrid>
      <w:tr w:rsidR="003C1284" w:rsidRPr="00A8610B" w:rsidTr="00DD029A">
        <w:trPr>
          <w:trHeight w:val="1003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31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59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3C1284" w:rsidRPr="00A8610B" w:rsidTr="00DD029A">
        <w:trPr>
          <w:trHeight w:val="5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45-66 %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25-35 %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</w:tr>
      <w:tr w:rsidR="003C1284" w:rsidRPr="00A8610B" w:rsidTr="00DD029A">
        <w:trPr>
          <w:trHeight w:val="5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познавательных УУД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55-70 %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30-40 %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40%</w:t>
            </w:r>
          </w:p>
        </w:tc>
      </w:tr>
      <w:tr w:rsidR="003C1284" w:rsidRPr="00A8610B" w:rsidTr="00DD029A">
        <w:trPr>
          <w:trHeight w:val="52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коммуникативных УУД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70-85 %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A8610B" w:rsidRDefault="003C1284" w:rsidP="00DD029A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42%</w:t>
            </w:r>
          </w:p>
        </w:tc>
      </w:tr>
    </w:tbl>
    <w:p w:rsidR="003C1284" w:rsidRDefault="003C1284" w:rsidP="003C128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C1284" w:rsidRDefault="003C1284" w:rsidP="003C128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06DE">
        <w:rPr>
          <w:rFonts w:ascii="Times New Roman" w:hAnsi="Times New Roman" w:cs="Times New Roman"/>
          <w:spacing w:val="-3"/>
          <w:sz w:val="24"/>
          <w:szCs w:val="24"/>
        </w:rPr>
        <w:t>В целом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8C1951">
        <w:rPr>
          <w:rFonts w:ascii="Times New Roman" w:hAnsi="Times New Roman" w:cs="Times New Roman"/>
          <w:b/>
          <w:spacing w:val="-3"/>
          <w:sz w:val="24"/>
          <w:szCs w:val="24"/>
        </w:rPr>
        <w:t>вывод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), образовательные достижения обучающихся в области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результатов при освоении обучающимися ООП НОО свидетельствуют, что сложившаяся система работы учителей, реализующих ООП НОО, является достаточно эффективной. Во многом это достигнуто благодаря внедрению в образовательный процесс дидактической системы деятельностного метода обучения Л.Г. Петерсон, системы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формирующего оценивания, активного использования учителями ресурсов образовательных платформ сети Интернет, направленности большинства учителей на непрерывное профессиональное обучение и самосовершенствование. И на следующем этапе деятельности (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2019-20 учебный </w:t>
      </w:r>
      <w:proofErr w:type="gramStart"/>
      <w:r>
        <w:rPr>
          <w:rFonts w:ascii="Times New Roman" w:hAnsi="Times New Roman" w:cs="Times New Roman"/>
          <w:i/>
          <w:spacing w:val="-3"/>
          <w:sz w:val="24"/>
          <w:szCs w:val="24"/>
        </w:rPr>
        <w:t>год )</w:t>
      </w:r>
      <w:r>
        <w:rPr>
          <w:rFonts w:ascii="Times New Roman" w:hAnsi="Times New Roman" w:cs="Times New Roman"/>
          <w:spacing w:val="-3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лишь обеспечить совершенствование отдельных элементов сложившейся системы.</w:t>
      </w:r>
    </w:p>
    <w:p w:rsidR="003C1284" w:rsidRPr="00A8610B" w:rsidRDefault="003C1284" w:rsidP="003C128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>Составляющие «умение учиться» как основа образовательной компетентности в целом.</w:t>
      </w:r>
    </w:p>
    <w:p w:rsidR="003C1284" w:rsidRPr="00A8610B" w:rsidRDefault="003C1284" w:rsidP="003C12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 xml:space="preserve">Умение учиться, как основа ключевой образовательной компетентности, формируется на протяжении всех уровней образования. Такая компетентность (грамотность) может быть сформирована только к окончанию основной школы. Основным результатом (проявлением) этой компетентности к окончанию основной школы является учащийся, сформированный как индивидуальный субъект учебной деятельности, то есть человек, способный сам перед собой поставить новую учебную задачу и решить ее. С помощью этого нового способа сам учащийся сможет решать большой круг частных задач. При возникающих сложностях и проблемах, понимая их природу возникновения, такой учащийся сможет обратиться к другому субъекту за целенаправленной помощью (учитель, сверстник, другой взрослый, любой источник информации, включая книгу, Интернет, и т.д.). </w:t>
      </w:r>
    </w:p>
    <w:p w:rsidR="003C1284" w:rsidRPr="00A8610B" w:rsidRDefault="003C1284" w:rsidP="003C12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>Умение учиться является одним из центральных новообразований, учебной грамотности (ядром), но учебная грамотность не сводится только к умению учиться.</w:t>
      </w:r>
    </w:p>
    <w:p w:rsidR="003C1284" w:rsidRPr="00A8610B" w:rsidRDefault="003C1284" w:rsidP="003C12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 xml:space="preserve">Ключевым в учебной грамотности для начальной школы является формирование желания и основы умения учиться. Именно это умение учиться и может быть основным индивидуальным результатом начального общего образования. Именно эта «грань» учебной деятельности </w:t>
      </w:r>
      <w:proofErr w:type="gramStart"/>
      <w:r w:rsidRPr="00A8610B">
        <w:rPr>
          <w:rFonts w:ascii="Times New Roman" w:eastAsia="Calibri" w:hAnsi="Times New Roman"/>
        </w:rPr>
        <w:t>стала  предметом</w:t>
      </w:r>
      <w:proofErr w:type="gramEnd"/>
      <w:r w:rsidRPr="00A8610B">
        <w:rPr>
          <w:rFonts w:ascii="Times New Roman" w:eastAsia="Calibri" w:hAnsi="Times New Roman"/>
        </w:rPr>
        <w:t xml:space="preserve"> индивидуальной оценки через решение специально созданных задач. Остальные «грани» учебной </w:t>
      </w:r>
      <w:r w:rsidRPr="00A8610B">
        <w:rPr>
          <w:rFonts w:ascii="Times New Roman" w:eastAsia="Calibri" w:hAnsi="Times New Roman"/>
        </w:rPr>
        <w:lastRenderedPageBreak/>
        <w:t>грамотности (постановка новой задачи, поиск способа ее решения) могут проявляться к концу начальной школы только в коллективных формах (малой группе, классе</w:t>
      </w:r>
      <w:proofErr w:type="gramStart"/>
      <w:r w:rsidRPr="00A8610B">
        <w:rPr>
          <w:rFonts w:ascii="Times New Roman" w:eastAsia="Calibri" w:hAnsi="Times New Roman"/>
        </w:rPr>
        <w:t>)</w:t>
      </w:r>
      <w:r w:rsidRPr="00A8610B">
        <w:rPr>
          <w:rStyle w:val="a8"/>
          <w:rFonts w:ascii="Times New Roman" w:eastAsia="Calibri" w:hAnsi="Times New Roman"/>
        </w:rPr>
        <w:footnoteReference w:id="5"/>
      </w:r>
      <w:r w:rsidRPr="00A8610B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См.</w:t>
      </w:r>
      <w:proofErr w:type="gramEnd"/>
      <w:r>
        <w:rPr>
          <w:rFonts w:ascii="Times New Roman" w:eastAsia="Calibri" w:hAnsi="Times New Roman"/>
        </w:rPr>
        <w:t xml:space="preserve"> таблицы 1.6- 1.7.</w:t>
      </w:r>
    </w:p>
    <w:p w:rsidR="003C1284" w:rsidRPr="00C14F47" w:rsidRDefault="003C1284" w:rsidP="003C1284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C14F47">
        <w:rPr>
          <w:rFonts w:ascii="Times New Roman" w:eastAsia="Calibri" w:hAnsi="Times New Roman"/>
        </w:rPr>
        <w:t>Способность в решении задач (проблем)</w:t>
      </w:r>
    </w:p>
    <w:p w:rsidR="003C1284" w:rsidRPr="00C14F47" w:rsidRDefault="003C1284" w:rsidP="003C1284">
      <w:pPr>
        <w:pStyle w:val="a3"/>
        <w:spacing w:after="0" w:line="360" w:lineRule="auto"/>
        <w:ind w:left="7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C14F47" w:rsidRDefault="003C1284" w:rsidP="003C1284">
      <w:pPr>
        <w:pStyle w:val="a3"/>
        <w:autoSpaceDE w:val="0"/>
        <w:autoSpaceDN w:val="0"/>
        <w:adjustRightInd w:val="0"/>
        <w:spacing w:line="360" w:lineRule="auto"/>
        <w:ind w:left="1189"/>
        <w:jc w:val="both"/>
        <w:rPr>
          <w:rFonts w:ascii="Times New Roman" w:eastAsia="Calibri" w:hAnsi="Times New Roman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</w:rPr>
              <w:t>рефлексия как способность к решению задач (проблем)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формулирование образовательных запросов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45-55 %;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поисковая активность (определение возможных путей решения задачи)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организация присвоения способа действия/средств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45-55 %;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3C1284" w:rsidRPr="00A8610B" w:rsidRDefault="003C1284" w:rsidP="003C128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Calibri" w:hAnsi="Times New Roman"/>
        </w:rPr>
      </w:pPr>
    </w:p>
    <w:p w:rsidR="003C1284" w:rsidRDefault="003C1284" w:rsidP="003C1284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</w:rPr>
      </w:pPr>
      <w:r w:rsidRPr="00A8610B">
        <w:rPr>
          <w:rFonts w:ascii="Times New Roman CYR" w:eastAsia="Calibri" w:hAnsi="Times New Roman CYR" w:cs="Times New Roman CYR"/>
          <w:bCs/>
          <w:iCs/>
          <w:sz w:val="24"/>
          <w:szCs w:val="24"/>
        </w:rPr>
        <w:t>Способность к контрольно-оценочной самостоятельности (саморазвитию)</w:t>
      </w:r>
    </w:p>
    <w:p w:rsidR="003C1284" w:rsidRPr="00C14F47" w:rsidRDefault="003C1284" w:rsidP="003C1284">
      <w:pPr>
        <w:pStyle w:val="a3"/>
        <w:spacing w:after="0" w:line="360" w:lineRule="auto"/>
        <w:ind w:left="7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A8610B" w:rsidRDefault="003C1284" w:rsidP="003C1284">
      <w:pPr>
        <w:pStyle w:val="a3"/>
        <w:autoSpaceDE w:val="0"/>
        <w:autoSpaceDN w:val="0"/>
        <w:adjustRightInd w:val="0"/>
        <w:spacing w:line="360" w:lineRule="auto"/>
        <w:ind w:left="1189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3C1284" w:rsidRPr="00A8610B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учебные действия контроля и оценки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40-55 %;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самооценки (адекватный)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поисковая активность (определение возможных путей решения задачи)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C1284" w:rsidRPr="00A8610B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публичное предъявление результатов и достижений в обучении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a3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3C1284" w:rsidRDefault="003C1284" w:rsidP="003C12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C1284" w:rsidRPr="00910460" w:rsidRDefault="003C1284" w:rsidP="003C12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 также отметить, что целенаправленная работа педагогического коллектива учителей, реализующего ООП НОО в области формирования и развития у обучающихся личностных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результатов и «умения учится» в целом стала одним из оснований успешности, которую ежегодно демонстрируют выпускники в предметных результатах на вступительных экзаменах в специализированные ОО</w:t>
      </w:r>
      <w:r>
        <w:rPr>
          <w:rStyle w:val="a8"/>
          <w:rFonts w:ascii="Times New Roman" w:hAnsi="Times New Roman"/>
          <w:spacing w:val="-3"/>
          <w:sz w:val="24"/>
          <w:szCs w:val="24"/>
        </w:rPr>
        <w:footnoteReference w:id="6"/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0318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предыдущих трех лет оставались проблемной зоной формирование регулятивных УУД.</w:t>
      </w:r>
    </w:p>
    <w:p w:rsidR="003C1284" w:rsidRDefault="003C1284" w:rsidP="003C1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284" w:rsidRPr="003C1284" w:rsidRDefault="003C1284" w:rsidP="003C12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28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C1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C1284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</w:t>
      </w:r>
      <w:proofErr w:type="gramEnd"/>
      <w:r w:rsidRPr="003C1284">
        <w:rPr>
          <w:rFonts w:ascii="Times New Roman" w:hAnsi="Times New Roman" w:cs="Times New Roman"/>
          <w:b/>
          <w:bCs/>
          <w:sz w:val="24"/>
          <w:szCs w:val="24"/>
        </w:rPr>
        <w:t xml:space="preserve"> (обобщенные) выпускников, отражающие их уровень готовности к освоению ООП ООО.</w:t>
      </w:r>
    </w:p>
    <w:p w:rsidR="003C1284" w:rsidRPr="00EB6B9D" w:rsidRDefault="003C1284" w:rsidP="003C1284">
      <w:pPr>
        <w:tabs>
          <w:tab w:val="left" w:pos="579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EB6B9D">
        <w:rPr>
          <w:rFonts w:ascii="Times New Roman" w:hAnsi="Times New Roman" w:cs="Times New Roman"/>
          <w:sz w:val="24"/>
          <w:szCs w:val="24"/>
        </w:rPr>
        <w:t xml:space="preserve">Успешно освоившие ООП НОО по результатам выполнения трех итоговых работ (по учебным предметам «русский язык», «математика», «окружающий мир») и комплексной работы на </w:t>
      </w:r>
      <w:proofErr w:type="spellStart"/>
      <w:r w:rsidRPr="00EB6B9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B6B9D">
        <w:rPr>
          <w:rFonts w:ascii="Times New Roman" w:hAnsi="Times New Roman" w:cs="Times New Roman"/>
          <w:sz w:val="24"/>
          <w:szCs w:val="24"/>
        </w:rPr>
        <w:t xml:space="preserve"> основе также и продемонстрировавшие </w:t>
      </w:r>
      <w:r w:rsidRPr="00EB6B9D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EB6B9D">
        <w:rPr>
          <w:rFonts w:ascii="Times New Roman" w:hAnsi="Times New Roman" w:cs="Times New Roman"/>
          <w:sz w:val="24"/>
          <w:szCs w:val="24"/>
        </w:rPr>
        <w:t xml:space="preserve">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обучению на уровне ООО – 63</w:t>
      </w:r>
      <w:r w:rsidRPr="00EB6B9D">
        <w:rPr>
          <w:rFonts w:ascii="Times New Roman" w:hAnsi="Times New Roman" w:cs="Times New Roman"/>
          <w:sz w:val="24"/>
          <w:szCs w:val="24"/>
        </w:rPr>
        <w:t>% выпускников. Эти выпускники овладели опорной системой знаний и учебными действиями, необходимыми для продолжения на следующей ступени, и способны использовать их для решения простых учебно-познавательных и учебно-практических задач средствами данного предмета, результаты выполнения итоговых работ свидетельствует о правильном выполнении не менее 65% заданий базового у</w:t>
      </w:r>
      <w:r>
        <w:rPr>
          <w:rFonts w:ascii="Times New Roman" w:hAnsi="Times New Roman" w:cs="Times New Roman"/>
          <w:sz w:val="24"/>
          <w:szCs w:val="24"/>
        </w:rPr>
        <w:t>ровня по всем учебным предметам.</w:t>
      </w:r>
    </w:p>
    <w:p w:rsidR="003C1284" w:rsidRPr="00EB6B9D" w:rsidRDefault="003C1284" w:rsidP="003C1284">
      <w:pPr>
        <w:pStyle w:val="a3"/>
        <w:numPr>
          <w:ilvl w:val="1"/>
          <w:numId w:val="5"/>
        </w:numPr>
        <w:tabs>
          <w:tab w:val="left" w:pos="709"/>
          <w:tab w:val="left" w:pos="57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6B9D">
        <w:rPr>
          <w:rFonts w:ascii="Times New Roman" w:hAnsi="Times New Roman" w:cs="Times New Roman"/>
          <w:sz w:val="24"/>
          <w:szCs w:val="24"/>
        </w:rPr>
        <w:t xml:space="preserve">своивших ООП НОО и продемонстрировавших </w:t>
      </w:r>
      <w:r w:rsidRPr="00EB6B9D">
        <w:rPr>
          <w:rFonts w:ascii="Times New Roman" w:hAnsi="Times New Roman" w:cs="Times New Roman"/>
          <w:b/>
          <w:i/>
          <w:sz w:val="24"/>
          <w:szCs w:val="24"/>
        </w:rPr>
        <w:t>низкий уровень</w:t>
      </w:r>
      <w:r w:rsidRPr="00EB6B9D">
        <w:rPr>
          <w:rFonts w:ascii="Times New Roman" w:hAnsi="Times New Roman" w:cs="Times New Roman"/>
          <w:sz w:val="24"/>
          <w:szCs w:val="24"/>
        </w:rPr>
        <w:t xml:space="preserve"> готовности к продолжению обучения на уровне ООО по результатам выполнения трех итоговых </w:t>
      </w:r>
      <w:r w:rsidRPr="00EB6B9D">
        <w:rPr>
          <w:rFonts w:ascii="Times New Roman" w:hAnsi="Times New Roman" w:cs="Times New Roman"/>
          <w:sz w:val="24"/>
          <w:szCs w:val="24"/>
        </w:rPr>
        <w:lastRenderedPageBreak/>
        <w:t xml:space="preserve">работ (по русскому языку, математике, окружающему миру) и комплексной работы на </w:t>
      </w:r>
      <w:proofErr w:type="spellStart"/>
      <w:r w:rsidRPr="00EB6B9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B6B9D">
        <w:rPr>
          <w:rFonts w:ascii="Times New Roman" w:hAnsi="Times New Roman" w:cs="Times New Roman"/>
          <w:sz w:val="24"/>
          <w:szCs w:val="24"/>
        </w:rPr>
        <w:t xml:space="preserve"> основе – 4% выпускников</w:t>
      </w:r>
      <w:r w:rsidRPr="00EB6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 таблицу 1.8.</w:t>
      </w:r>
    </w:p>
    <w:p w:rsidR="003C1284" w:rsidRPr="00C14F47" w:rsidRDefault="003C1284" w:rsidP="003C1284">
      <w:pPr>
        <w:pStyle w:val="a3"/>
        <w:spacing w:after="0" w:line="360" w:lineRule="auto"/>
        <w:ind w:left="7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284" w:rsidRPr="00910460" w:rsidRDefault="003C1284" w:rsidP="003C12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10460">
        <w:rPr>
          <w:rFonts w:ascii="Times New Roman" w:hAnsi="Times New Roman" w:cs="Times New Roman"/>
          <w:b/>
          <w:bCs/>
          <w:sz w:val="24"/>
          <w:szCs w:val="24"/>
        </w:rPr>
        <w:t>ровень готовности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выпускников  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освоению ООП ООО</w:t>
      </w:r>
    </w:p>
    <w:p w:rsidR="003C1284" w:rsidRPr="00910460" w:rsidRDefault="003C1284" w:rsidP="003C1284">
      <w:p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3C1284" w:rsidRPr="007055DD" w:rsidTr="00DD029A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703B56" w:rsidRDefault="003C1284" w:rsidP="00DD02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703B56" w:rsidRDefault="003C1284" w:rsidP="00DD02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A8610B" w:rsidRDefault="003C1284" w:rsidP="00DD029A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2018-2019 учебном году</w:t>
            </w:r>
          </w:p>
        </w:tc>
      </w:tr>
      <w:tr w:rsidR="003C1284" w:rsidRPr="007055DD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1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ысокий уровень</w:t>
            </w:r>
            <w:r w:rsidRPr="00F1166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продолжению обучения на уровне О</w:t>
            </w:r>
            <w:r w:rsidRPr="00F1166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1660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BB573F" w:rsidRDefault="003C1284" w:rsidP="00DD029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C1284" w:rsidRPr="007055DD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F11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редний уровень</w:t>
            </w:r>
            <w:r w:rsidRPr="00F1166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обучению на уровне ООО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7055DD" w:rsidRDefault="003C1284" w:rsidP="00DD029A">
            <w:pPr>
              <w:pStyle w:val="a9"/>
              <w:spacing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 w:rsidRPr="00F11660">
              <w:t xml:space="preserve">65- </w:t>
            </w:r>
            <w:r>
              <w:rPr>
                <w:lang w:val="ru-RU"/>
              </w:rPr>
              <w:t>80</w:t>
            </w:r>
            <w:r w:rsidRPr="00F11660">
              <w:t>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BB573F" w:rsidRDefault="003C1284" w:rsidP="00DD029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3C1284" w:rsidRPr="007055DD" w:rsidTr="00DD029A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C1284" w:rsidRPr="007055DD" w:rsidRDefault="003C1284" w:rsidP="00DD029A">
            <w:pPr>
              <w:pStyle w:val="17PRIL-tabl-t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F11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изкий уровень</w:t>
            </w:r>
            <w:r w:rsidRPr="00F1166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продолжению обучения на уровне ООО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84" w:rsidRPr="007055DD" w:rsidRDefault="003C1284" w:rsidP="00DD029A">
            <w:pPr>
              <w:pStyle w:val="a9"/>
              <w:spacing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t>менее</w:t>
            </w:r>
            <w:proofErr w:type="spellEnd"/>
            <w:r>
              <w:t xml:space="preserve"> 4%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3C1284" w:rsidRPr="00BB573F" w:rsidRDefault="003C1284" w:rsidP="00DD029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7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1284" w:rsidRDefault="003C1284" w:rsidP="003C1284">
      <w:pPr>
        <w:tabs>
          <w:tab w:val="left" w:pos="579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1284" w:rsidRPr="003B6781" w:rsidRDefault="003C1284" w:rsidP="003C1284">
      <w:pPr>
        <w:tabs>
          <w:tab w:val="left" w:pos="579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таблицы 1.8. видно, что значения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  высокого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уровня готовности выпускников </w:t>
      </w:r>
      <w:r w:rsidRPr="00F1166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продолжению обучения на уровне О</w:t>
      </w:r>
      <w:r w:rsidRPr="00F11660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составляет 22%, что соответствует планируемому значению показателя практически на самом низком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уровне.Эти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выпускники успешно освоили</w:t>
      </w:r>
      <w:r w:rsidRPr="00F11660">
        <w:rPr>
          <w:rFonts w:ascii="Times New Roman" w:hAnsi="Times New Roman" w:cs="Times New Roman"/>
          <w:sz w:val="24"/>
          <w:szCs w:val="24"/>
        </w:rPr>
        <w:t xml:space="preserve"> ООП НОО Гимназии по результатам выполнения трех итоговых работ (по учебным предметам «русский язык», «математика», «окружающий мир») и комплексной работы на </w:t>
      </w:r>
      <w:proofErr w:type="spellStart"/>
      <w:r w:rsidRPr="00F1166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11660">
        <w:rPr>
          <w:rFonts w:ascii="Times New Roman" w:hAnsi="Times New Roman" w:cs="Times New Roman"/>
          <w:sz w:val="24"/>
          <w:szCs w:val="24"/>
        </w:rPr>
        <w:t xml:space="preserve"> основе.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F11660">
        <w:rPr>
          <w:rFonts w:ascii="Times New Roman" w:hAnsi="Times New Roman" w:cs="Times New Roman"/>
          <w:sz w:val="24"/>
          <w:szCs w:val="24"/>
        </w:rPr>
        <w:t xml:space="preserve"> овладели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11660">
        <w:rPr>
          <w:rFonts w:ascii="Times New Roman" w:hAnsi="Times New Roman" w:cs="Times New Roman"/>
          <w:sz w:val="24"/>
          <w:szCs w:val="24"/>
        </w:rPr>
        <w:t xml:space="preserve"> опорной</w:t>
      </w:r>
      <w:proofErr w:type="gramEnd"/>
      <w:r w:rsidRPr="00F11660">
        <w:rPr>
          <w:rFonts w:ascii="Times New Roman" w:hAnsi="Times New Roman" w:cs="Times New Roman"/>
          <w:sz w:val="24"/>
          <w:szCs w:val="24"/>
        </w:rPr>
        <w:t xml:space="preserve"> системой знаний, необходимой для продолжения образования на уровне осознанного произвольног</w:t>
      </w:r>
      <w:r>
        <w:rPr>
          <w:rFonts w:ascii="Times New Roman" w:hAnsi="Times New Roman" w:cs="Times New Roman"/>
          <w:sz w:val="24"/>
          <w:szCs w:val="24"/>
        </w:rPr>
        <w:t>о овладения учебными действиями(</w:t>
      </w:r>
      <w:r w:rsidRPr="00F11660">
        <w:rPr>
          <w:rFonts w:ascii="Times New Roman" w:hAnsi="Times New Roman" w:cs="Times New Roman"/>
          <w:sz w:val="24"/>
          <w:szCs w:val="24"/>
        </w:rPr>
        <w:t>результаты выполнения итоговых работ свидетельствуют о правильном выполнении не менее 65% заданий базового уровня</w:t>
      </w:r>
      <w:r>
        <w:rPr>
          <w:rFonts w:ascii="Times New Roman" w:hAnsi="Times New Roman" w:cs="Times New Roman"/>
          <w:sz w:val="24"/>
          <w:szCs w:val="24"/>
        </w:rPr>
        <w:t>), но и системой знаний повышенного уровня (получили</w:t>
      </w:r>
      <w:r w:rsidRPr="00F11660">
        <w:rPr>
          <w:rFonts w:ascii="Times New Roman" w:hAnsi="Times New Roman" w:cs="Times New Roman"/>
          <w:sz w:val="24"/>
          <w:szCs w:val="24"/>
        </w:rPr>
        <w:t xml:space="preserve"> не менее 50% от максимального балла за выполнение заданий повышенного у</w:t>
      </w:r>
      <w:r>
        <w:rPr>
          <w:rFonts w:ascii="Times New Roman" w:hAnsi="Times New Roman" w:cs="Times New Roman"/>
          <w:sz w:val="24"/>
          <w:szCs w:val="24"/>
        </w:rPr>
        <w:t>ровня по всем учебным предметам).</w:t>
      </w:r>
    </w:p>
    <w:p w:rsidR="003C1284" w:rsidRDefault="003C1284" w:rsidP="003C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11660">
        <w:rPr>
          <w:rFonts w:ascii="Times New Roman" w:hAnsi="Times New Roman" w:cs="Times New Roman"/>
          <w:b/>
          <w:i/>
          <w:sz w:val="24"/>
          <w:szCs w:val="24"/>
        </w:rPr>
        <w:t>редний уровень</w:t>
      </w:r>
      <w:r w:rsidRPr="00F11660">
        <w:rPr>
          <w:rFonts w:ascii="Times New Roman" w:hAnsi="Times New Roman" w:cs="Times New Roman"/>
          <w:sz w:val="24"/>
          <w:szCs w:val="24"/>
        </w:rPr>
        <w:t xml:space="preserve"> готовности к обучению на уровне ООО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продемонстрировали 73% выпускников. Они успешно освоили</w:t>
      </w:r>
      <w:r w:rsidRPr="00EB6B9D">
        <w:rPr>
          <w:rFonts w:ascii="Times New Roman" w:hAnsi="Times New Roman" w:cs="Times New Roman"/>
          <w:sz w:val="24"/>
          <w:szCs w:val="24"/>
        </w:rPr>
        <w:t xml:space="preserve"> ООП НОО по результатам выполнения трех итоговых работ (по учебным предметам «русский язык», «математика», «окружающий мир») и комплексной работы на </w:t>
      </w:r>
      <w:proofErr w:type="spellStart"/>
      <w:r w:rsidRPr="00EB6B9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B6B9D">
        <w:rPr>
          <w:rFonts w:ascii="Times New Roman" w:hAnsi="Times New Roman" w:cs="Times New Roman"/>
          <w:sz w:val="24"/>
          <w:szCs w:val="24"/>
        </w:rPr>
        <w:t xml:space="preserve">. Эти выпускники овладели опорной системой знаний и учебными действиями, необходимыми для продолжения на следующей ступени, и способны использовать их для решения простых учебно-познавательных и учебно-практических задач средствами данного предмета, результаты выполнения итоговых работ </w:t>
      </w:r>
      <w:r w:rsidRPr="00EB6B9D">
        <w:rPr>
          <w:rFonts w:ascii="Times New Roman" w:hAnsi="Times New Roman" w:cs="Times New Roman"/>
          <w:sz w:val="24"/>
          <w:szCs w:val="24"/>
        </w:rPr>
        <w:lastRenderedPageBreak/>
        <w:t>свидетельствует о правильном выполнении не менее 65% заданий базового у</w:t>
      </w:r>
      <w:r>
        <w:rPr>
          <w:rFonts w:ascii="Times New Roman" w:hAnsi="Times New Roman" w:cs="Times New Roman"/>
          <w:sz w:val="24"/>
          <w:szCs w:val="24"/>
        </w:rPr>
        <w:t>ровня по всем учебным предметам.</w:t>
      </w:r>
    </w:p>
    <w:p w:rsidR="003C1284" w:rsidRPr="00FA4E77" w:rsidRDefault="003C1284" w:rsidP="003C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11660">
        <w:rPr>
          <w:rFonts w:ascii="Times New Roman" w:hAnsi="Times New Roman" w:cs="Times New Roman"/>
          <w:b/>
          <w:i/>
          <w:sz w:val="24"/>
          <w:szCs w:val="24"/>
        </w:rPr>
        <w:t>изкий уровень</w:t>
      </w:r>
      <w:r w:rsidRPr="00F11660">
        <w:rPr>
          <w:rFonts w:ascii="Times New Roman" w:hAnsi="Times New Roman" w:cs="Times New Roman"/>
          <w:sz w:val="24"/>
          <w:szCs w:val="24"/>
        </w:rPr>
        <w:t xml:space="preserve"> готовности к продолжению обучения на уровне ООО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продемонстрировали 5% выпускников, что на 1% больше планируемого значения показателя. </w:t>
      </w:r>
    </w:p>
    <w:p w:rsidR="003C1284" w:rsidRPr="00266973" w:rsidRDefault="003C1284" w:rsidP="003C1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Позитивнаядинамика</w:t>
      </w:r>
      <w:proofErr w:type="spellEnd"/>
      <w:r w:rsidRPr="00266973">
        <w:rPr>
          <w:rFonts w:ascii="Times New Roman" w:hAnsi="Times New Roman" w:cs="Times New Roman"/>
          <w:i/>
          <w:sz w:val="24"/>
          <w:szCs w:val="24"/>
        </w:rPr>
        <w:t xml:space="preserve"> образовательных достижений обучающихся по показателям различных групп личностных, </w:t>
      </w:r>
      <w:proofErr w:type="spellStart"/>
      <w:r w:rsidRPr="00266973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266973">
        <w:rPr>
          <w:rFonts w:ascii="Times New Roman" w:hAnsi="Times New Roman" w:cs="Times New Roman"/>
          <w:i/>
          <w:sz w:val="24"/>
          <w:szCs w:val="24"/>
        </w:rPr>
        <w:t xml:space="preserve"> и предметных планируемых результатов ООП НОО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обеспечена </w:t>
      </w:r>
      <w:r w:rsidRPr="00266973">
        <w:rPr>
          <w:rFonts w:ascii="Times New Roman" w:hAnsi="Times New Roman" w:cs="Times New Roman"/>
          <w:sz w:val="24"/>
          <w:szCs w:val="24"/>
        </w:rPr>
        <w:t>за счет:</w:t>
      </w:r>
    </w:p>
    <w:p w:rsidR="003C1284" w:rsidRPr="00266973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973">
        <w:rPr>
          <w:rFonts w:ascii="Times New Roman" w:hAnsi="Times New Roman" w:cs="Times New Roman"/>
          <w:sz w:val="24"/>
          <w:szCs w:val="24"/>
        </w:rPr>
        <w:t xml:space="preserve">развития профессиональных компетенций педагогов в области методов и приемов обучения </w:t>
      </w:r>
      <w:proofErr w:type="spellStart"/>
      <w:r w:rsidRPr="0026697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66973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технологии деятельностного метода обучения Л.Г. Петерсон на уроках различного типа, теории и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формирующего оценивания, опираясь на научно-методическую и консультативную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EA7D0A">
        <w:rPr>
          <w:rFonts w:ascii="Times New Roman" w:hAnsi="Times New Roman" w:cs="Times New Roman"/>
          <w:sz w:val="24"/>
          <w:szCs w:val="24"/>
        </w:rPr>
        <w:t xml:space="preserve"> ДПО</w:t>
      </w:r>
      <w:r>
        <w:rPr>
          <w:rFonts w:ascii="Times New Roman" w:hAnsi="Times New Roman" w:cs="Times New Roman"/>
          <w:sz w:val="24"/>
          <w:szCs w:val="24"/>
        </w:rPr>
        <w:t xml:space="preserve"> и СПО</w:t>
      </w:r>
      <w:r w:rsidRPr="00EA7D0A">
        <w:rPr>
          <w:rFonts w:ascii="Times New Roman" w:hAnsi="Times New Roman" w:cs="Times New Roman"/>
          <w:sz w:val="24"/>
          <w:szCs w:val="24"/>
        </w:rPr>
        <w:t xml:space="preserve"> (ГАОУ АО ДПО «Институт развития образования», </w:t>
      </w:r>
      <w:r w:rsidRPr="00266973">
        <w:rPr>
          <w:rFonts w:ascii="Times New Roman" w:hAnsi="Times New Roman" w:cs="Times New Roman"/>
          <w:sz w:val="24"/>
          <w:szCs w:val="24"/>
        </w:rPr>
        <w:t>НОУ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73">
        <w:rPr>
          <w:rFonts w:ascii="Times New Roman" w:hAnsi="Times New Roman" w:cs="Times New Roman"/>
          <w:sz w:val="24"/>
          <w:szCs w:val="24"/>
        </w:rPr>
        <w:t>«Институт сист</w:t>
      </w:r>
      <w:r>
        <w:rPr>
          <w:rFonts w:ascii="Times New Roman" w:hAnsi="Times New Roman" w:cs="Times New Roman"/>
          <w:sz w:val="24"/>
          <w:szCs w:val="24"/>
        </w:rPr>
        <w:t>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педагогики»</w:t>
      </w:r>
      <w:r w:rsidRPr="00266973">
        <w:rPr>
          <w:rFonts w:ascii="Times New Roman" w:hAnsi="Times New Roman" w:cs="Times New Roman"/>
          <w:sz w:val="24"/>
          <w:szCs w:val="24"/>
        </w:rPr>
        <w:t>, Астраханский социально-педагогический колледж)</w:t>
      </w:r>
    </w:p>
    <w:p w:rsidR="003C1284" w:rsidRPr="00232C44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Pr="00266973">
        <w:rPr>
          <w:rFonts w:ascii="Times New Roman" w:hAnsi="Times New Roman" w:cs="Times New Roman"/>
          <w:sz w:val="24"/>
          <w:szCs w:val="24"/>
        </w:rPr>
        <w:t xml:space="preserve"> деятельности по внедрению технологии и дидактической системы деятельностного метода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Л.Г. Петерсон</w:t>
      </w:r>
      <w:r w:rsidRPr="00266973">
        <w:rPr>
          <w:rFonts w:ascii="Times New Roman" w:hAnsi="Times New Roman" w:cs="Times New Roman"/>
          <w:sz w:val="24"/>
          <w:szCs w:val="24"/>
        </w:rPr>
        <w:t>, технологии формир</w:t>
      </w:r>
      <w:r>
        <w:rPr>
          <w:rFonts w:ascii="Times New Roman" w:hAnsi="Times New Roman" w:cs="Times New Roman"/>
          <w:sz w:val="24"/>
          <w:szCs w:val="24"/>
        </w:rPr>
        <w:t>ующего оценивания, в том числе за счет использования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73">
        <w:rPr>
          <w:rFonts w:ascii="Times New Roman" w:hAnsi="Times New Roman" w:cs="Times New Roman"/>
          <w:sz w:val="24"/>
          <w:szCs w:val="24"/>
        </w:rPr>
        <w:t>развития партнерских связе</w:t>
      </w:r>
      <w:r>
        <w:rPr>
          <w:rFonts w:ascii="Times New Roman" w:hAnsi="Times New Roman" w:cs="Times New Roman"/>
          <w:sz w:val="24"/>
          <w:szCs w:val="24"/>
        </w:rPr>
        <w:t>й с общеобразовательными органи</w:t>
      </w:r>
      <w:r w:rsidRPr="00266973">
        <w:rPr>
          <w:rFonts w:ascii="Times New Roman" w:hAnsi="Times New Roman" w:cs="Times New Roman"/>
          <w:sz w:val="24"/>
          <w:szCs w:val="24"/>
        </w:rPr>
        <w:t>зациями г. Астрахани и Астраханской области, других регионо</w:t>
      </w:r>
      <w:r>
        <w:rPr>
          <w:rFonts w:ascii="Times New Roman" w:hAnsi="Times New Roman" w:cs="Times New Roman"/>
          <w:sz w:val="24"/>
          <w:szCs w:val="24"/>
        </w:rPr>
        <w:t>в (в рамках методической сети «У</w:t>
      </w:r>
      <w:r w:rsidRPr="00266973">
        <w:rPr>
          <w:rFonts w:ascii="Times New Roman" w:hAnsi="Times New Roman" w:cs="Times New Roman"/>
          <w:sz w:val="24"/>
          <w:szCs w:val="24"/>
        </w:rPr>
        <w:t>чусь учиться»)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284" w:rsidRPr="00266973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сферы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Pr="00266973">
        <w:rPr>
          <w:rFonts w:ascii="Times New Roman" w:hAnsi="Times New Roman" w:cs="Times New Roman"/>
          <w:sz w:val="24"/>
          <w:szCs w:val="24"/>
        </w:rPr>
        <w:t>цифровых образовательных платформ (</w:t>
      </w:r>
      <w:proofErr w:type="spellStart"/>
      <w:r w:rsidRPr="0026697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26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973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Pr="00266973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284" w:rsidRPr="00EA7D0A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</w:t>
      </w:r>
      <w:r w:rsidRPr="00266973">
        <w:rPr>
          <w:rFonts w:ascii="Times New Roman" w:hAnsi="Times New Roman" w:cs="Times New Roman"/>
          <w:sz w:val="24"/>
          <w:szCs w:val="24"/>
        </w:rPr>
        <w:t>чения пре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973">
        <w:rPr>
          <w:rFonts w:ascii="Times New Roman" w:hAnsi="Times New Roman" w:cs="Times New Roman"/>
          <w:sz w:val="24"/>
          <w:szCs w:val="24"/>
        </w:rPr>
        <w:t>мственности в работе с ООП Гимназии «Дошкольное»</w:t>
      </w:r>
      <w:r>
        <w:rPr>
          <w:rFonts w:ascii="Times New Roman" w:hAnsi="Times New Roman" w:cs="Times New Roman"/>
          <w:sz w:val="24"/>
          <w:szCs w:val="24"/>
        </w:rPr>
        <w:t xml:space="preserve"> и повышения эффективности деятельности, связанной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подготовкой детей 6-7 лет, выравниванием их стартовых возможностей перед поступлением в Гимназию;</w:t>
      </w:r>
    </w:p>
    <w:p w:rsidR="003C1284" w:rsidRPr="00C9482E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образовательной среды за счет эффективного использования внутренних </w:t>
      </w:r>
      <w:r w:rsidRPr="00C9482E">
        <w:rPr>
          <w:rFonts w:ascii="Times New Roman" w:hAnsi="Times New Roman" w:cs="Times New Roman"/>
          <w:sz w:val="24"/>
          <w:szCs w:val="24"/>
        </w:rPr>
        <w:t>условий (ресурсов), а также сотрудничества с учреждениями ДОД, культуры и спорта;</w:t>
      </w:r>
    </w:p>
    <w:p w:rsidR="003C1284" w:rsidRPr="00125216" w:rsidRDefault="003C1284" w:rsidP="003C12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2E">
        <w:rPr>
          <w:rFonts w:ascii="Times New Roman" w:hAnsi="Times New Roman" w:cs="Times New Roman"/>
          <w:sz w:val="24"/>
          <w:szCs w:val="24"/>
        </w:rPr>
        <w:t xml:space="preserve"> обновления учебно-методической базы образовательного процесса.</w:t>
      </w:r>
    </w:p>
    <w:p w:rsidR="003C1284" w:rsidRDefault="003C1284" w:rsidP="003C1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284" w:rsidRDefault="003C1284" w:rsidP="003C12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Вмнсте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тем, качественный анализ результатов итоговой оценки освоения обучающимися ООП НОО выявил потребность в совершенствовании работы учителей при реализации рабочих программ учебных предметов, курсов, курсов внеурочной деятельности в направлении индивидуализации обучения. </w:t>
      </w:r>
    </w:p>
    <w:p w:rsidR="003C1284" w:rsidRPr="007F65F6" w:rsidRDefault="003C1284" w:rsidP="003C1284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2019-2020 учебном году необходимо продолжить поиск</w:t>
      </w:r>
      <w:r w:rsidRPr="00342F2D">
        <w:rPr>
          <w:rFonts w:ascii="Times New Roman" w:hAnsi="Times New Roman" w:cs="Times New Roman"/>
        </w:rPr>
        <w:t xml:space="preserve"> организационно-педагогических сред</w:t>
      </w:r>
      <w:r w:rsidRPr="007F65F6">
        <w:rPr>
          <w:rFonts w:ascii="Times New Roman" w:hAnsi="Times New Roman" w:cs="Times New Roman"/>
        </w:rPr>
        <w:t xml:space="preserve">ств, позволяющих усилить вариативность содержания образования как важнейшего условия </w:t>
      </w:r>
      <w:r w:rsidRPr="007F65F6">
        <w:rPr>
          <w:rFonts w:ascii="Times New Roman" w:hAnsi="Times New Roman" w:cs="Times New Roman"/>
        </w:rPr>
        <w:lastRenderedPageBreak/>
        <w:t>реализации дифференцированного подхода в процессе обучения, индивидуализации образования и проектирования ИОМ обучающегося в освоении ООП НОО; в частности, учителю необходимо иметь реальные представления об уровне подготовки каждого обучающегося и ставить перед ним ту цель, которую он способен реализовать. Особое внимание обращать на обучающихся, испытывающих трудности в освоении отдельных учебных предметов.</w:t>
      </w:r>
    </w:p>
    <w:p w:rsidR="003C1284" w:rsidRPr="007F65F6" w:rsidRDefault="003C1284" w:rsidP="003C1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284" w:rsidRPr="007F65F6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5F6">
        <w:rPr>
          <w:rFonts w:ascii="Times New Roman" w:hAnsi="Times New Roman" w:cs="Times New Roman"/>
          <w:sz w:val="24"/>
          <w:szCs w:val="24"/>
        </w:rPr>
        <w:t xml:space="preserve">Указанное выше фактически и определяло подсистему задач, которые решались педагогическим коллективом в 2018-2019 уч. г. при реализации ООП НОО. Проблемы, связанные с развитием у обучающихся способностей в области контрольно-оценочной самостоятельности, с одной стороны, определили методическую тему </w:t>
      </w:r>
      <w:proofErr w:type="spellStart"/>
      <w:r w:rsidRPr="007F65F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F65F6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7F65F6">
        <w:rPr>
          <w:rFonts w:ascii="Times New Roman" w:hAnsi="Times New Roman" w:cs="Times New Roman"/>
          <w:bCs/>
          <w:sz w:val="24"/>
          <w:szCs w:val="24"/>
        </w:rPr>
        <w:t xml:space="preserve"> учителей, реализующих ООП НОО,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5F6">
        <w:rPr>
          <w:rFonts w:ascii="Times New Roman" w:hAnsi="Times New Roman" w:cs="Times New Roman"/>
          <w:i/>
          <w:sz w:val="24"/>
          <w:szCs w:val="24"/>
        </w:rPr>
        <w:t xml:space="preserve">«Формирование контрольно-оценочной самостоятельности у младших школьников   средствами дидактической системы деятельностного метода обучения </w:t>
      </w:r>
      <w:proofErr w:type="spellStart"/>
      <w:r w:rsidRPr="007F65F6">
        <w:rPr>
          <w:rFonts w:ascii="Times New Roman" w:hAnsi="Times New Roman" w:cs="Times New Roman"/>
          <w:i/>
          <w:sz w:val="24"/>
          <w:szCs w:val="24"/>
        </w:rPr>
        <w:t>Л.Г.Петерсон</w:t>
      </w:r>
      <w:proofErr w:type="spellEnd"/>
      <w:r w:rsidRPr="007F65F6">
        <w:rPr>
          <w:rFonts w:ascii="Times New Roman" w:hAnsi="Times New Roman" w:cs="Times New Roman"/>
          <w:i/>
          <w:sz w:val="24"/>
          <w:szCs w:val="24"/>
        </w:rPr>
        <w:t>»</w:t>
      </w:r>
      <w:r w:rsidRPr="007F65F6">
        <w:rPr>
          <w:rFonts w:ascii="Times New Roman" w:hAnsi="Times New Roman" w:cs="Times New Roman"/>
          <w:sz w:val="24"/>
          <w:szCs w:val="24"/>
        </w:rPr>
        <w:t xml:space="preserve">, а с другой – </w:t>
      </w:r>
      <w:proofErr w:type="spellStart"/>
      <w:r w:rsidRPr="007F65F6">
        <w:rPr>
          <w:rFonts w:ascii="Times New Roman" w:hAnsi="Times New Roman" w:cs="Times New Roman"/>
          <w:sz w:val="24"/>
          <w:szCs w:val="24"/>
        </w:rPr>
        <w:t>дополнительныезадачи</w:t>
      </w:r>
      <w:proofErr w:type="spellEnd"/>
      <w:r w:rsidRPr="007F6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84" w:rsidRPr="00716C16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5F6">
        <w:rPr>
          <w:rFonts w:ascii="Times New Roman" w:hAnsi="Times New Roman" w:cs="Times New Roman"/>
          <w:sz w:val="24"/>
          <w:szCs w:val="24"/>
        </w:rPr>
        <w:t xml:space="preserve">МО учителей, реализующих ООП НОО, </w:t>
      </w:r>
      <w:r>
        <w:rPr>
          <w:rFonts w:ascii="Times New Roman" w:hAnsi="Times New Roman" w:cs="Times New Roman"/>
          <w:sz w:val="24"/>
          <w:szCs w:val="24"/>
        </w:rPr>
        <w:t>продолжало</w:t>
      </w:r>
      <w:r w:rsidRPr="007F65F6">
        <w:rPr>
          <w:rFonts w:ascii="Times New Roman" w:hAnsi="Times New Roman" w:cs="Times New Roman"/>
          <w:sz w:val="24"/>
          <w:szCs w:val="24"/>
        </w:rPr>
        <w:t xml:space="preserve"> в 2018-2019 уч.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реализовывать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6">
        <w:rPr>
          <w:rFonts w:ascii="Times New Roman" w:hAnsi="Times New Roman" w:cs="Times New Roman"/>
          <w:sz w:val="24"/>
          <w:szCs w:val="24"/>
        </w:rPr>
        <w:t>задачи</w:t>
      </w:r>
      <w:r w:rsidRPr="00716C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C1284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C1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F65F6">
        <w:rPr>
          <w:rFonts w:ascii="Times New Roman" w:hAnsi="Times New Roman" w:cs="Times New Roman"/>
          <w:sz w:val="24"/>
          <w:szCs w:val="24"/>
        </w:rPr>
        <w:t>сосредоточить работу МО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Амирова Е.А.)</w:t>
      </w:r>
      <w:r w:rsidRPr="00787074">
        <w:rPr>
          <w:rFonts w:ascii="Times New Roman" w:hAnsi="Times New Roman" w:cs="Times New Roman"/>
          <w:sz w:val="24"/>
          <w:szCs w:val="24"/>
        </w:rPr>
        <w:t xml:space="preserve"> на поиске организационно-педагогических, методических и дидактических средств, позволяющих оптимально и эффективно использовать потенциал системы </w:t>
      </w:r>
      <w:proofErr w:type="spellStart"/>
      <w:r w:rsidRPr="0078707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787074">
        <w:rPr>
          <w:rFonts w:ascii="Times New Roman" w:hAnsi="Times New Roman" w:cs="Times New Roman"/>
          <w:sz w:val="24"/>
          <w:szCs w:val="24"/>
        </w:rPr>
        <w:t xml:space="preserve"> формирующего оценивания и дидактической системы деятельностного метода обучения Л.Г. Петерсон для развития у младших школьников контрольно-оценочной самостоятельности, и внедрении выявленных </w:t>
      </w:r>
      <w:r>
        <w:rPr>
          <w:rFonts w:ascii="Times New Roman" w:hAnsi="Times New Roman" w:cs="Times New Roman"/>
          <w:sz w:val="24"/>
          <w:szCs w:val="24"/>
        </w:rPr>
        <w:t xml:space="preserve">в рассматриваемой области </w:t>
      </w:r>
      <w:r w:rsidRPr="00787074">
        <w:rPr>
          <w:rFonts w:ascii="Times New Roman" w:hAnsi="Times New Roman" w:cs="Times New Roman"/>
          <w:sz w:val="24"/>
          <w:szCs w:val="24"/>
        </w:rPr>
        <w:t xml:space="preserve">лучших практик в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Гимназии;</w:t>
      </w:r>
    </w:p>
    <w:p w:rsidR="003C1284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процессы методической учебы</w:t>
      </w:r>
      <w:r w:rsidRPr="00802788">
        <w:rPr>
          <w:rFonts w:ascii="Times New Roman" w:hAnsi="Times New Roman" w:cs="Times New Roman"/>
          <w:sz w:val="24"/>
          <w:szCs w:val="24"/>
        </w:rPr>
        <w:t xml:space="preserve"> и самообразования на развитие профессиональных компетенций учителей в области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02788">
        <w:rPr>
          <w:rFonts w:ascii="Times New Roman" w:hAnsi="Times New Roman" w:cs="Times New Roman"/>
          <w:sz w:val="24"/>
          <w:szCs w:val="24"/>
        </w:rPr>
        <w:t xml:space="preserve">контрольно-оценочной </w:t>
      </w:r>
      <w:proofErr w:type="spellStart"/>
      <w:proofErr w:type="gramStart"/>
      <w:r w:rsidRPr="0080278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встраивание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выявленных в ходе обучения и самообразования лучших </w:t>
      </w:r>
      <w:r w:rsidRPr="00802788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х практик</w:t>
      </w:r>
      <w:r w:rsidRPr="00802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методов и форм организации совместной деятельности учителя и ученика,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обеспечивающих развитие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802788">
        <w:rPr>
          <w:rFonts w:ascii="Times New Roman" w:hAnsi="Times New Roman" w:cs="Times New Roman"/>
          <w:sz w:val="24"/>
          <w:szCs w:val="24"/>
        </w:rPr>
        <w:t xml:space="preserve">навыков адекватной самооценки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самоконтроля</w:t>
      </w:r>
      <w:r w:rsidRPr="00802788">
        <w:rPr>
          <w:rFonts w:ascii="Times New Roman" w:hAnsi="Times New Roman" w:cs="Times New Roman"/>
          <w:sz w:val="24"/>
          <w:szCs w:val="24"/>
        </w:rPr>
        <w:t>;</w:t>
      </w:r>
    </w:p>
    <w:p w:rsidR="003C1284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план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контроля качества образования (план ВШК),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качестве одного из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оценку эффективности деятельности педагогов в области развития у обучающихся навыков контрольно-оценочной самостоятельности, обеспечив, при необходимости, коррекцию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педагогов, а также </w:t>
      </w:r>
      <w:r w:rsidRPr="0080278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спространение </w:t>
      </w:r>
      <w:r w:rsidRPr="00802788">
        <w:rPr>
          <w:rFonts w:ascii="Times New Roman" w:hAnsi="Times New Roman" w:cs="Times New Roman"/>
          <w:sz w:val="24"/>
          <w:szCs w:val="24"/>
        </w:rPr>
        <w:t>выявленных лучших практик в работе учителей, реализующих ООП НОО Гимназии.</w:t>
      </w:r>
    </w:p>
    <w:p w:rsidR="003C1284" w:rsidRPr="00802788" w:rsidRDefault="003C1284" w:rsidP="003C12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педагогического коллектива, направленная на реализацию поставленных целей и сформулированных выше задач, позволила обеспечить повышение результативности образовательного процесса (см. ниже в анализе). Одним из показателей эффективности деятельности педагогического коллектива Гимназии, и прежде всего педагогов, реализующих ООП НОО, стало официальное и профессиональное общественное признание Гимназии в системе образования Российской Федерации: </w:t>
      </w:r>
    </w:p>
    <w:p w:rsidR="003C1284" w:rsidRDefault="003C1284" w:rsidP="003C12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Национальный инкубатор образовательных инноваций в системе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(см.: Режим доступа: </w:t>
      </w:r>
      <w:hyperlink r:id="rId7" w:history="1"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http://xn--j1aaaehfdojs1d.xn--p1ai/</w:t>
        </w:r>
        <w:proofErr w:type="spellStart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innovations</w:t>
        </w:r>
        <w:proofErr w:type="spellEnd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index</w:t>
        </w:r>
        <w:proofErr w:type="spellEnd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year</w:t>
        </w:r>
        <w:proofErr w:type="spellEnd"/>
        <w:r w:rsidRPr="00BB038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/2016?page=2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4FA0">
        <w:rPr>
          <w:rFonts w:ascii="Times New Roman" w:hAnsi="Times New Roman"/>
          <w:spacing w:val="-4"/>
          <w:sz w:val="24"/>
          <w:szCs w:val="24"/>
        </w:rPr>
        <w:t>свободный. – Заглавие с экрана. – Яз. рус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C1284" w:rsidRDefault="003C1284" w:rsidP="003C12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статус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площадка» в рамках реализации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проектаНОУ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ДПО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педагогики» 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Петерсон Л.Г., </w:t>
      </w:r>
      <w:proofErr w:type="spellStart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«Механизмы внедрения системно-деятельностного подхода с позиций непрерывности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– НОО – ООО)» (см. сертификат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9)</w:t>
      </w:r>
    </w:p>
    <w:p w:rsidR="003C1284" w:rsidRPr="00390536" w:rsidRDefault="003C1284" w:rsidP="003C12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Знак</w:t>
      </w:r>
      <w:r w:rsidRPr="003905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качества инновационной методической сети «Учусь учиться»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успехи во внедрении в практику работы программ и технологий нового поколения и в развитии и продвижении идей системно-</w:t>
      </w:r>
      <w:proofErr w:type="spellStart"/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 в образовательном пространстве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2018-2019 учебного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см. сертификат в Приложении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Годового анализа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284" w:rsidRPr="004D603C" w:rsidRDefault="003C1284" w:rsidP="003C1284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F2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A1129" w:rsidRDefault="00AA1129"/>
    <w:sectPr w:rsidR="00AA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1" w:rsidRDefault="00127FC1" w:rsidP="003C1284">
      <w:pPr>
        <w:spacing w:after="0" w:line="240" w:lineRule="auto"/>
      </w:pPr>
      <w:r>
        <w:separator/>
      </w:r>
    </w:p>
  </w:endnote>
  <w:endnote w:type="continuationSeparator" w:id="0">
    <w:p w:rsidR="00127FC1" w:rsidRDefault="00127FC1" w:rsidP="003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1" w:rsidRDefault="00127FC1" w:rsidP="003C1284">
      <w:pPr>
        <w:spacing w:after="0" w:line="240" w:lineRule="auto"/>
      </w:pPr>
      <w:r>
        <w:separator/>
      </w:r>
    </w:p>
  </w:footnote>
  <w:footnote w:type="continuationSeparator" w:id="0">
    <w:p w:rsidR="00127FC1" w:rsidRDefault="00127FC1" w:rsidP="003C1284">
      <w:pPr>
        <w:spacing w:after="0" w:line="240" w:lineRule="auto"/>
      </w:pPr>
      <w:r>
        <w:continuationSeparator/>
      </w:r>
    </w:p>
  </w:footnote>
  <w:footnote w:id="1">
    <w:p w:rsidR="003C1284" w:rsidRPr="001D24A7" w:rsidRDefault="003C1284" w:rsidP="003C1284">
      <w:pPr>
        <w:pStyle w:val="a5"/>
        <w:jc w:val="both"/>
        <w:rPr>
          <w:rFonts w:ascii="Times New Roman" w:hAnsi="Times New Roman"/>
          <w:color w:val="FF0000"/>
        </w:rPr>
      </w:pPr>
      <w:r w:rsidRPr="001D24A7">
        <w:rPr>
          <w:rStyle w:val="a8"/>
          <w:rFonts w:ascii="Times New Roman" w:hAnsi="Times New Roman"/>
        </w:rPr>
        <w:footnoteRef/>
      </w:r>
      <w:r w:rsidRPr="001D24A7">
        <w:rPr>
          <w:rFonts w:ascii="Times New Roman" w:hAnsi="Times New Roman"/>
        </w:rPr>
        <w:t xml:space="preserve"> Основные показатели достижения цели формулируются только для выпускников уровня НОО. Показатели качества по всем группам планируемых результатов для промежуточной аттестации могут быть сформированы в ходе годового анализа и оформлены как самостоятельный организационно-методический ресурс ориентационного характера (рабочий документ), который зам. директора, руководителем МО и учителями будет использоваться </w:t>
      </w:r>
      <w:proofErr w:type="gramStart"/>
      <w:r w:rsidRPr="001D24A7">
        <w:rPr>
          <w:rFonts w:ascii="Times New Roman" w:hAnsi="Times New Roman"/>
        </w:rPr>
        <w:t>в  служебных</w:t>
      </w:r>
      <w:proofErr w:type="gramEnd"/>
      <w:r w:rsidRPr="001D24A7">
        <w:rPr>
          <w:rFonts w:ascii="Times New Roman" w:hAnsi="Times New Roman"/>
        </w:rPr>
        <w:t xml:space="preserve"> целях (в рамках ВШК, сравнительного анализа по итогам промежуточной аттестации и т.д.).</w:t>
      </w:r>
    </w:p>
  </w:footnote>
  <w:footnote w:id="2">
    <w:p w:rsidR="003C1284" w:rsidRPr="00CB0F59" w:rsidRDefault="003C1284" w:rsidP="003C1284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18"/>
          <w:szCs w:val="18"/>
        </w:rPr>
      </w:pPr>
      <w:r>
        <w:rPr>
          <w:rStyle w:val="a8"/>
        </w:rPr>
        <w:footnoteRef/>
      </w:r>
      <w:r w:rsidRPr="00CB0F59">
        <w:rPr>
          <w:rFonts w:ascii="Times New Roman" w:hAnsi="Times New Roman" w:cs="Times New Roman"/>
          <w:sz w:val="18"/>
          <w:szCs w:val="18"/>
        </w:rPr>
        <w:t xml:space="preserve">В отчете представлены обобщенные результаты, подробно описанные в разделе </w:t>
      </w:r>
      <w:r>
        <w:rPr>
          <w:rFonts w:ascii="Times New Roman" w:hAnsi="Times New Roman" w:cs="Times New Roman"/>
          <w:sz w:val="18"/>
          <w:szCs w:val="18"/>
        </w:rPr>
        <w:t>2.2.1</w:t>
      </w:r>
      <w:r w:rsidRPr="00CB0F59">
        <w:rPr>
          <w:rFonts w:ascii="Times New Roman" w:hAnsi="Times New Roman" w:cs="Times New Roman"/>
          <w:spacing w:val="-3"/>
          <w:sz w:val="18"/>
          <w:szCs w:val="18"/>
        </w:rPr>
        <w:t>. «</w:t>
      </w:r>
      <w:r w:rsidRPr="00CB0F59">
        <w:rPr>
          <w:rFonts w:ascii="Times New Roman" w:hAnsi="Times New Roman" w:cs="Times New Roman"/>
          <w:iCs/>
          <w:sz w:val="18"/>
          <w:szCs w:val="18"/>
        </w:rPr>
        <w:t xml:space="preserve">Личностные </w:t>
      </w:r>
      <w:r w:rsidRPr="00CB0F59">
        <w:rPr>
          <w:rFonts w:ascii="Times New Roman" w:hAnsi="Times New Roman" w:cs="Times New Roman"/>
          <w:sz w:val="18"/>
          <w:szCs w:val="18"/>
        </w:rPr>
        <w:t>планируемые</w:t>
      </w:r>
      <w:r w:rsidRPr="00CB0F59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proofErr w:type="gramStart"/>
      <w:r w:rsidRPr="00CB0F59">
        <w:rPr>
          <w:rFonts w:ascii="Times New Roman" w:hAnsi="Times New Roman" w:cs="Times New Roman"/>
          <w:iCs/>
          <w:sz w:val="18"/>
          <w:szCs w:val="18"/>
        </w:rPr>
        <w:t>результаты:</w:t>
      </w:r>
      <w:r>
        <w:rPr>
          <w:rFonts w:ascii="Times New Roman" w:hAnsi="Times New Roman" w:cs="Times New Roman"/>
          <w:iCs/>
          <w:sz w:val="18"/>
          <w:szCs w:val="18"/>
        </w:rPr>
        <w:t>самоопределение</w:t>
      </w:r>
      <w:proofErr w:type="spellEnd"/>
      <w:proofErr w:type="gramEnd"/>
      <w:r w:rsidRPr="00CB0F59">
        <w:rPr>
          <w:rFonts w:ascii="Times New Roman" w:hAnsi="Times New Roman" w:cs="Times New Roman"/>
          <w:iCs/>
          <w:sz w:val="18"/>
          <w:szCs w:val="18"/>
        </w:rPr>
        <w:t>»</w:t>
      </w:r>
      <w:r>
        <w:rPr>
          <w:rFonts w:ascii="Times New Roman" w:hAnsi="Times New Roman" w:cs="Times New Roman"/>
          <w:iCs/>
          <w:sz w:val="18"/>
          <w:szCs w:val="18"/>
        </w:rPr>
        <w:t xml:space="preserve"> данного документа.</w:t>
      </w:r>
    </w:p>
    <w:p w:rsidR="003C1284" w:rsidRDefault="003C1284" w:rsidP="003C1284">
      <w:pPr>
        <w:spacing w:after="0" w:line="240" w:lineRule="auto"/>
        <w:jc w:val="both"/>
        <w:outlineLvl w:val="0"/>
      </w:pPr>
    </w:p>
  </w:footnote>
  <w:footnote w:id="3">
    <w:p w:rsidR="003C1284" w:rsidRPr="00CB0F59" w:rsidRDefault="003C1284" w:rsidP="003C1284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18"/>
          <w:szCs w:val="18"/>
        </w:rPr>
      </w:pPr>
      <w:r>
        <w:rPr>
          <w:rStyle w:val="a8"/>
        </w:rPr>
        <w:footnoteRef/>
      </w:r>
      <w:r w:rsidRPr="00CB0F59">
        <w:rPr>
          <w:rFonts w:ascii="Times New Roman" w:hAnsi="Times New Roman" w:cs="Times New Roman"/>
          <w:sz w:val="18"/>
          <w:szCs w:val="18"/>
        </w:rPr>
        <w:t>В отчете представлены обобщенные результаты, подробно описанные в разделе 2.2.2</w:t>
      </w:r>
      <w:r w:rsidRPr="00CB0F59">
        <w:rPr>
          <w:rFonts w:ascii="Times New Roman" w:hAnsi="Times New Roman" w:cs="Times New Roman"/>
          <w:spacing w:val="-3"/>
          <w:sz w:val="18"/>
          <w:szCs w:val="18"/>
        </w:rPr>
        <w:t>. «</w:t>
      </w:r>
      <w:r w:rsidRPr="00CB0F59">
        <w:rPr>
          <w:rFonts w:ascii="Times New Roman" w:hAnsi="Times New Roman" w:cs="Times New Roman"/>
          <w:iCs/>
          <w:sz w:val="18"/>
          <w:szCs w:val="18"/>
        </w:rPr>
        <w:t xml:space="preserve">Личностные </w:t>
      </w:r>
      <w:r w:rsidRPr="00CB0F59">
        <w:rPr>
          <w:rFonts w:ascii="Times New Roman" w:hAnsi="Times New Roman" w:cs="Times New Roman"/>
          <w:sz w:val="18"/>
          <w:szCs w:val="18"/>
        </w:rPr>
        <w:t>планируемые</w:t>
      </w:r>
      <w:r w:rsidRPr="00CB0F59">
        <w:rPr>
          <w:rFonts w:ascii="Times New Roman" w:hAnsi="Times New Roman" w:cs="Times New Roman"/>
          <w:iCs/>
          <w:sz w:val="18"/>
          <w:szCs w:val="18"/>
        </w:rPr>
        <w:t xml:space="preserve"> результаты: </w:t>
      </w:r>
      <w:proofErr w:type="spellStart"/>
      <w:r w:rsidRPr="00CB0F59">
        <w:rPr>
          <w:rFonts w:ascii="Times New Roman" w:hAnsi="Times New Roman" w:cs="Times New Roman"/>
          <w:iCs/>
          <w:sz w:val="18"/>
          <w:szCs w:val="18"/>
        </w:rPr>
        <w:t>смыслообразование</w:t>
      </w:r>
      <w:proofErr w:type="spellEnd"/>
      <w:r w:rsidRPr="00CB0F59">
        <w:rPr>
          <w:rFonts w:ascii="Times New Roman" w:hAnsi="Times New Roman" w:cs="Times New Roman"/>
          <w:iCs/>
          <w:sz w:val="18"/>
          <w:szCs w:val="18"/>
        </w:rPr>
        <w:t>»</w:t>
      </w:r>
      <w:r>
        <w:rPr>
          <w:rFonts w:ascii="Times New Roman" w:hAnsi="Times New Roman" w:cs="Times New Roman"/>
          <w:iCs/>
          <w:sz w:val="18"/>
          <w:szCs w:val="18"/>
        </w:rPr>
        <w:t xml:space="preserve"> данного документа.</w:t>
      </w:r>
    </w:p>
    <w:p w:rsidR="003C1284" w:rsidRPr="00CB0F59" w:rsidRDefault="003C1284" w:rsidP="003C1284">
      <w:pPr>
        <w:pStyle w:val="a5"/>
        <w:rPr>
          <w:sz w:val="18"/>
          <w:szCs w:val="18"/>
        </w:rPr>
      </w:pPr>
    </w:p>
  </w:footnote>
  <w:footnote w:id="4">
    <w:p w:rsidR="003C1284" w:rsidRPr="00A75588" w:rsidRDefault="003C1284" w:rsidP="003C128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8"/>
        </w:rPr>
        <w:footnoteRef/>
      </w:r>
      <w:r w:rsidRPr="000F7E03">
        <w:rPr>
          <w:rFonts w:ascii="Times New Roman" w:hAnsi="Times New Roman" w:cs="Times New Roman"/>
          <w:sz w:val="18"/>
          <w:szCs w:val="18"/>
        </w:rPr>
        <w:t xml:space="preserve">Представлены обобщенные результаты, описанные в разделе </w:t>
      </w:r>
      <w:proofErr w:type="gramStart"/>
      <w:r w:rsidRPr="000F7E03">
        <w:rPr>
          <w:rFonts w:ascii="Times New Roman" w:hAnsi="Times New Roman" w:cs="Times New Roman"/>
          <w:sz w:val="18"/>
          <w:szCs w:val="18"/>
        </w:rPr>
        <w:t>2.3.1</w:t>
      </w:r>
      <w:r w:rsidRPr="003E5AD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«</w:t>
      </w:r>
      <w:proofErr w:type="gramEnd"/>
      <w:r w:rsidRPr="003E5AD4">
        <w:rPr>
          <w:rFonts w:ascii="Times New Roman" w:hAnsi="Times New Roman" w:cs="Times New Roman"/>
          <w:bCs/>
          <w:sz w:val="18"/>
          <w:szCs w:val="18"/>
        </w:rPr>
        <w:t xml:space="preserve">Достижение </w:t>
      </w:r>
      <w:proofErr w:type="spellStart"/>
      <w:r w:rsidRPr="003E5AD4">
        <w:rPr>
          <w:rFonts w:ascii="Times New Roman" w:hAnsi="Times New Roman" w:cs="Times New Roman"/>
          <w:bCs/>
          <w:sz w:val="18"/>
          <w:szCs w:val="18"/>
        </w:rPr>
        <w:t>метапредметных</w:t>
      </w:r>
      <w:proofErr w:type="spellEnd"/>
      <w:r w:rsidRPr="003E5AD4">
        <w:rPr>
          <w:rFonts w:ascii="Times New Roman" w:hAnsi="Times New Roman" w:cs="Times New Roman"/>
          <w:bCs/>
          <w:sz w:val="18"/>
          <w:szCs w:val="18"/>
        </w:rPr>
        <w:t xml:space="preserve"> планируем</w:t>
      </w:r>
      <w:r>
        <w:rPr>
          <w:rFonts w:ascii="Times New Roman" w:hAnsi="Times New Roman" w:cs="Times New Roman"/>
          <w:bCs/>
          <w:sz w:val="18"/>
          <w:szCs w:val="18"/>
        </w:rPr>
        <w:t>ых результатов освоения ООП НОО»</w:t>
      </w:r>
    </w:p>
    <w:p w:rsidR="003C1284" w:rsidRDefault="003C1284" w:rsidP="003C1284">
      <w:pPr>
        <w:pStyle w:val="a5"/>
      </w:pPr>
    </w:p>
  </w:footnote>
  <w:footnote w:id="5">
    <w:p w:rsidR="003C1284" w:rsidRPr="00AE0505" w:rsidRDefault="003C1284" w:rsidP="003C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a8"/>
        </w:rPr>
        <w:footnoteRef/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См.: </w:t>
      </w:r>
      <w:hyperlink r:id="rId1" w:tooltip="А. Б. Воронцов" w:history="1">
        <w:r w:rsidRPr="00FC6CED">
          <w:rPr>
            <w:rStyle w:val="a7"/>
            <w:rFonts w:ascii="Times New Roman" w:hAnsi="Times New Roman" w:cs="Times New Roman"/>
            <w:sz w:val="20"/>
            <w:szCs w:val="20"/>
          </w:rPr>
          <w:t>Воронцов</w:t>
        </w:r>
      </w:hyperlink>
      <w:r w:rsidRPr="00FC6CED">
        <w:rPr>
          <w:rFonts w:ascii="Times New Roman" w:hAnsi="Times New Roman" w:cs="Times New Roman"/>
          <w:sz w:val="20"/>
          <w:szCs w:val="20"/>
        </w:rPr>
        <w:t xml:space="preserve"> А. Б. Контрольно-оценочная деятельность в школе. Организация и управление [Текст]. / </w:t>
      </w:r>
      <w:hyperlink r:id="rId2" w:history="1">
        <w:r w:rsidRPr="00FC6CED">
          <w:rPr>
            <w:rStyle w:val="a7"/>
            <w:rFonts w:ascii="Times New Roman" w:hAnsi="Times New Roman" w:cs="Times New Roman"/>
            <w:b/>
            <w:bCs/>
            <w:sz w:val="20"/>
            <w:szCs w:val="20"/>
          </w:rPr>
          <w:t>А.Б. Воронцов</w:t>
        </w:r>
      </w:hyperlink>
      <w:r w:rsidRPr="00FC6CED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FC6CED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FC6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CED">
        <w:rPr>
          <w:rFonts w:ascii="Times New Roman" w:hAnsi="Times New Roman" w:cs="Times New Roman"/>
          <w:sz w:val="20"/>
          <w:szCs w:val="20"/>
        </w:rPr>
        <w:t>Author's</w:t>
      </w:r>
      <w:proofErr w:type="spellEnd"/>
      <w:r w:rsidRPr="00FC6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CED">
        <w:rPr>
          <w:rFonts w:ascii="Times New Roman" w:hAnsi="Times New Roman" w:cs="Times New Roman"/>
          <w:sz w:val="20"/>
          <w:szCs w:val="20"/>
        </w:rPr>
        <w:t>Club</w:t>
      </w:r>
      <w:proofErr w:type="spellEnd"/>
      <w:r w:rsidRPr="00FC6CED">
        <w:rPr>
          <w:rFonts w:ascii="Times New Roman" w:hAnsi="Times New Roman" w:cs="Times New Roman"/>
          <w:sz w:val="20"/>
          <w:szCs w:val="20"/>
        </w:rPr>
        <w:t>, 2015</w:t>
      </w:r>
    </w:p>
    <w:p w:rsidR="003C1284" w:rsidRDefault="003C1284" w:rsidP="003C1284">
      <w:pPr>
        <w:pStyle w:val="a5"/>
      </w:pPr>
    </w:p>
  </w:footnote>
  <w:footnote w:id="6">
    <w:p w:rsidR="003C1284" w:rsidRDefault="003C1284" w:rsidP="003C1284">
      <w:pPr>
        <w:pStyle w:val="a5"/>
      </w:pPr>
      <w:r>
        <w:rPr>
          <w:rStyle w:val="a8"/>
        </w:rPr>
        <w:footnoteRef/>
      </w:r>
      <w:r>
        <w:t xml:space="preserve"> В этом учебном году более 30 выпускников начальной школы поступили в специализированные и профильные ОО для продолжения </w:t>
      </w:r>
      <w:proofErr w:type="gramStart"/>
      <w:r>
        <w:t>обучения  на</w:t>
      </w:r>
      <w:proofErr w:type="gramEnd"/>
      <w:r>
        <w:t xml:space="preserve"> следующем уровне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CB6"/>
    <w:multiLevelType w:val="multilevel"/>
    <w:tmpl w:val="F274F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34625ED0"/>
    <w:multiLevelType w:val="multilevel"/>
    <w:tmpl w:val="14265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36D7D"/>
    <w:multiLevelType w:val="multilevel"/>
    <w:tmpl w:val="8FB801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6384E62"/>
    <w:multiLevelType w:val="hybridMultilevel"/>
    <w:tmpl w:val="83887180"/>
    <w:lvl w:ilvl="0" w:tplc="34DE7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800FE"/>
    <w:multiLevelType w:val="hybridMultilevel"/>
    <w:tmpl w:val="853CE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821E47"/>
    <w:multiLevelType w:val="hybridMultilevel"/>
    <w:tmpl w:val="89283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F"/>
    <w:rsid w:val="0006586D"/>
    <w:rsid w:val="00127FC1"/>
    <w:rsid w:val="003C1284"/>
    <w:rsid w:val="008B46EF"/>
    <w:rsid w:val="00A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576E-6789-4F6F-BD2D-45E66A9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1284"/>
    <w:pPr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aliases w:val="single space,footnote text,Знак6,F1"/>
    <w:basedOn w:val="a"/>
    <w:link w:val="a6"/>
    <w:uiPriority w:val="99"/>
    <w:unhideWhenUsed/>
    <w:rsid w:val="003C12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single space Знак1,footnote text Знак1,Знак6 Знак,F1 Знак"/>
    <w:basedOn w:val="a0"/>
    <w:link w:val="a5"/>
    <w:uiPriority w:val="99"/>
    <w:rsid w:val="003C1284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1284"/>
    <w:rPr>
      <w:color w:val="0563C1" w:themeColor="hyperlink"/>
      <w:u w:val="single"/>
    </w:rPr>
  </w:style>
  <w:style w:type="character" w:styleId="a8">
    <w:name w:val="footnote reference"/>
    <w:aliases w:val="Знак сноски-FN,Ciae niinee-FN"/>
    <w:basedOn w:val="a0"/>
    <w:uiPriority w:val="99"/>
    <w:rsid w:val="003C1284"/>
    <w:rPr>
      <w:rFonts w:cs="Times New Roman"/>
      <w:vertAlign w:val="superscript"/>
    </w:rPr>
  </w:style>
  <w:style w:type="character" w:customStyle="1" w:styleId="a4">
    <w:name w:val="Абзац списка Знак"/>
    <w:link w:val="a3"/>
    <w:locked/>
    <w:rsid w:val="003C1284"/>
    <w:rPr>
      <w:rFonts w:eastAsiaTheme="minorEastAsia"/>
      <w:lang w:eastAsia="ru-RU"/>
    </w:rPr>
  </w:style>
  <w:style w:type="paragraph" w:customStyle="1" w:styleId="a9">
    <w:name w:val="[Без стиля]"/>
    <w:rsid w:val="003C12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3C1284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C128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j1aaaehfdojs1d.xn--p1ai/innovations/index/year/2016?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mgppu.ru/opacunicode/index.php?url=/auteurs/view/2750/source:default" TargetMode="External"/><Relationship Id="rId1" Type="http://schemas.openxmlformats.org/officeDocument/2006/relationships/hyperlink" Target="https://readrate.com/rus/contributors/a-b-voront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2019-10-16T08:20:00Z</dcterms:created>
  <dcterms:modified xsi:type="dcterms:W3CDTF">2019-10-16T08:20:00Z</dcterms:modified>
</cp:coreProperties>
</file>